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B8D61">
      <w:pPr>
        <w:numPr>
          <w:ilvl w:val="0"/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szCs w:val="21"/>
          <w:lang w:val="en-US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机动车区间测速监测系统现场测速误差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不确定度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评定</w:t>
      </w:r>
      <w:bookmarkEnd w:id="0"/>
    </w:p>
    <w:p w14:paraId="7D586229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/>
          <w:bCs/>
          <w:szCs w:val="21"/>
        </w:rPr>
        <w:t>概述</w:t>
      </w:r>
    </w:p>
    <w:p w14:paraId="09D08976"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1.1测量依据：JJG</w:t>
      </w:r>
      <w:r>
        <w:rPr>
          <w:rFonts w:hint="default" w:ascii="Times New Roman" w:hAnsi="Times New Roman" w:eastAsia="宋体" w:cs="Times New Roman"/>
          <w:bCs/>
          <w:szCs w:val="21"/>
          <w:lang w:eastAsia="zh-CN"/>
        </w:rPr>
        <w:t>（皖）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68</w:t>
      </w:r>
      <w:r>
        <w:rPr>
          <w:rFonts w:hint="default" w:ascii="Times New Roman" w:hAnsi="Times New Roman" w:cs="Times New Roman"/>
          <w:bCs/>
          <w:szCs w:val="21"/>
        </w:rPr>
        <w:t>-20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##</w:t>
      </w:r>
      <w:r>
        <w:rPr>
          <w:rFonts w:hint="default" w:ascii="Times New Roman" w:hAnsi="Times New Roman" w:cs="Times New Roman"/>
          <w:bCs/>
          <w:szCs w:val="21"/>
        </w:rPr>
        <w:t>《</w:t>
      </w:r>
      <w:r>
        <w:rPr>
          <w:rFonts w:hint="default" w:ascii="Times New Roman" w:hAnsi="Times New Roman" w:cs="Times New Roman"/>
          <w:bCs/>
          <w:szCs w:val="21"/>
          <w:lang w:eastAsia="zh-CN"/>
        </w:rPr>
        <w:t>机动车区间测速监测系统</w:t>
      </w:r>
      <w:r>
        <w:rPr>
          <w:rFonts w:hint="default" w:ascii="Times New Roman" w:hAnsi="Times New Roman" w:cs="Times New Roman"/>
          <w:bCs/>
          <w:szCs w:val="21"/>
        </w:rPr>
        <w:t>》</w:t>
      </w:r>
      <w:r>
        <w:rPr>
          <w:rFonts w:hint="default" w:ascii="Times New Roman" w:hAnsi="Times New Roman" w:eastAsia="宋体" w:cs="Times New Roman"/>
          <w:bCs/>
          <w:szCs w:val="21"/>
          <w:lang w:eastAsia="zh-CN"/>
        </w:rPr>
        <w:t>检定规程</w:t>
      </w:r>
      <w:r>
        <w:rPr>
          <w:rFonts w:hint="default" w:ascii="Times New Roman" w:hAnsi="Times New Roman" w:cs="Times New Roman"/>
          <w:bCs/>
          <w:szCs w:val="21"/>
        </w:rPr>
        <w:t>。</w:t>
      </w:r>
    </w:p>
    <w:p w14:paraId="3FC51FA8"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1.2测量环境条件：</w:t>
      </w:r>
      <w:r>
        <w:rPr>
          <w:rFonts w:hint="default" w:ascii="Times New Roman" w:hAnsi="Times New Roman" w:cs="Times New Roman"/>
          <w:bCs/>
          <w:szCs w:val="21"/>
          <w:lang w:eastAsia="zh-CN"/>
        </w:rPr>
        <w:t>温度：（-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bCs/>
          <w:szCs w:val="21"/>
          <w:lang w:eastAsia="zh-CN"/>
        </w:rPr>
        <w:t>～55）℃</w:t>
      </w:r>
      <w:r>
        <w:rPr>
          <w:rFonts w:hint="default" w:ascii="Times New Roman" w:hAnsi="Times New Roman" w:cs="Times New Roman"/>
          <w:bCs/>
          <w:szCs w:val="21"/>
        </w:rPr>
        <w:t>；相对湿度：不大于85%。</w:t>
      </w:r>
    </w:p>
    <w:p w14:paraId="6FBF0AAA"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1.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bCs/>
          <w:szCs w:val="21"/>
        </w:rPr>
        <w:t>被测对象：</w:t>
      </w:r>
      <w:r>
        <w:rPr>
          <w:rFonts w:hint="default" w:ascii="Times New Roman" w:hAnsi="Times New Roman" w:eastAsia="宋体" w:cs="Times New Roman"/>
          <w:bCs/>
          <w:szCs w:val="21"/>
          <w:lang w:eastAsia="zh-CN"/>
        </w:rPr>
        <w:t>区间测速系统</w:t>
      </w:r>
      <w:r>
        <w:rPr>
          <w:rFonts w:hint="default" w:ascii="Times New Roman" w:hAnsi="Times New Roman" w:cs="Times New Roman"/>
          <w:bCs/>
          <w:szCs w:val="21"/>
        </w:rPr>
        <w:t>。</w:t>
      </w:r>
    </w:p>
    <w:p w14:paraId="7F51CA0F">
      <w:pPr>
        <w:spacing w:line="360" w:lineRule="auto"/>
        <w:rPr>
          <w:rFonts w:hint="default" w:ascii="Times New Roman" w:hAnsi="Times New Roman" w:eastAsia="宋体" w:cs="Times New Roman"/>
          <w:bCs/>
          <w:szCs w:val="21"/>
          <w:lang w:val="en-US" w:eastAsia="zh-CN"/>
        </w:rPr>
      </w:pPr>
      <w:r>
        <w:rPr>
          <w:rFonts w:hint="default" w:ascii="Times New Roman" w:hAnsi="Times New Roman" w:cs="Times New Roman"/>
          <w:bCs/>
          <w:szCs w:val="21"/>
        </w:rPr>
        <w:t>1.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szCs w:val="21"/>
        </w:rPr>
        <w:t>测量方法：将</w:t>
      </w:r>
      <w:r>
        <w:rPr>
          <w:rFonts w:hint="default" w:ascii="Times New Roman" w:hAnsi="Times New Roman" w:eastAsia="宋体" w:cs="Times New Roman"/>
          <w:bCs/>
          <w:szCs w:val="21"/>
          <w:lang w:eastAsia="zh-CN"/>
        </w:rPr>
        <w:t>标准</w:t>
      </w:r>
      <w:r>
        <w:rPr>
          <w:rFonts w:hint="eastAsia" w:ascii="Times New Roman" w:hAnsi="Times New Roman" w:eastAsia="宋体" w:cs="Times New Roman"/>
          <w:bCs/>
          <w:szCs w:val="21"/>
          <w:lang w:eastAsia="zh-CN"/>
        </w:rPr>
        <w:t>测距仪</w:t>
      </w:r>
      <w:r>
        <w:rPr>
          <w:rFonts w:hint="default" w:ascii="Times New Roman" w:hAnsi="Times New Roman" w:eastAsia="宋体" w:cs="Times New Roman"/>
          <w:bCs/>
          <w:szCs w:val="21"/>
          <w:lang w:eastAsia="zh-CN"/>
        </w:rPr>
        <w:t>、标准时钟及其显示装置安装在试验车上，以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bCs/>
          <w:szCs w:val="21"/>
          <w:lang w:val="en-US" w:eastAsia="zh-CN"/>
        </w:rPr>
        <w:t>km/h左右的速度通过测速区间。区间测速监测系统对试验车进行速度测量并拍照，根据拍照照片的信息计算出机动车区间测速监测系统现场测速误差。</w:t>
      </w:r>
    </w:p>
    <w:p w14:paraId="0F8AAFFA">
      <w:pPr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szCs w:val="21"/>
        </w:rPr>
        <w:t>评定结果的使用：在符合上述测量条件下，对规定范围内的测量结果，一般可参照使用本不确定度的评定方法。</w:t>
      </w:r>
    </w:p>
    <w:p w14:paraId="3DC92A9D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  <w:t>2、建立测量模型</w:t>
      </w:r>
    </w:p>
    <w:p w14:paraId="589CCA2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2.1 </w:t>
      </w:r>
      <w:r>
        <w:rPr>
          <w:rFonts w:hint="default" w:ascii="Times New Roman" w:hAnsi="Times New Roman" w:cs="Times New Roman"/>
        </w:rPr>
        <w:t>.测量模型</w:t>
      </w:r>
    </w:p>
    <w:p w14:paraId="6F7A6358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position w:val="-30"/>
          <w:lang w:eastAsia="zh-CN"/>
        </w:rPr>
        <w:object>
          <v:shape id="_x0000_i1025" o:spt="75" type="#_x0000_t75" style="height:34pt;width:12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 w14:paraId="00C2B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式中：</w:t>
      </w:r>
      <w:r>
        <w:rPr>
          <w:rFonts w:hint="default" w:ascii="Times New Roman" w:hAnsi="Times New Roman" w:cs="Times New Roman"/>
          <w:position w:val="-6"/>
        </w:rPr>
        <w:object>
          <v:shape id="_x0000_i1026" o:spt="75" type="#_x0000_t75" style="height:13.95pt;width: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lang w:eastAsia="zh-CN"/>
        </w:rPr>
        <w:t>——区间测速</w:t>
      </w:r>
      <w:r>
        <w:rPr>
          <w:rFonts w:hint="default" w:ascii="Times New Roman" w:hAnsi="Times New Roman" w:cs="Times New Roman"/>
        </w:rPr>
        <w:t>误差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km/h</w:t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 w14:paraId="4ABB4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object>
          <v:shape id="_x0000_i1027" o:spt="75" type="#_x0000_t75" style="height:11pt;width: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——区间车速监测系统显示的速度值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km/h</w:t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 w14:paraId="3205A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  <w:iCs/>
        </w:rPr>
        <w:t>L</w:t>
      </w:r>
      <w:r>
        <w:rPr>
          <w:rFonts w:hint="default" w:ascii="Times New Roman" w:hAnsi="Times New Roman" w:eastAsia="宋体" w:cs="Times New Roman"/>
          <w:i w:val="0"/>
          <w:iCs w:val="0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——试验车辆离开</w:t>
      </w:r>
      <w:r>
        <w:rPr>
          <w:rFonts w:hint="eastAsia" w:ascii="Times New Roman" w:hAnsi="Times New Roman" w:eastAsia="宋体" w:cs="Times New Roman"/>
          <w:lang w:eastAsia="zh-CN"/>
        </w:rPr>
        <w:t>测量</w:t>
      </w:r>
      <w:r>
        <w:rPr>
          <w:rFonts w:hint="default" w:ascii="Times New Roman" w:hAnsi="Times New Roman" w:cs="Times New Roman"/>
        </w:rPr>
        <w:t>区间</w:t>
      </w:r>
      <w:r>
        <w:rPr>
          <w:rFonts w:hint="default" w:ascii="Times New Roman" w:hAnsi="Times New Roman" w:eastAsia="宋体" w:cs="Times New Roman"/>
          <w:lang w:eastAsia="zh-CN"/>
        </w:rPr>
        <w:t>时路</w:t>
      </w:r>
      <w:r>
        <w:rPr>
          <w:rFonts w:hint="default" w:ascii="Times New Roman" w:hAnsi="Times New Roman" w:cs="Times New Roman"/>
        </w:rPr>
        <w:t>程实际测量</w:t>
      </w:r>
      <w:r>
        <w:rPr>
          <w:rFonts w:hint="default" w:ascii="Times New Roman" w:hAnsi="Times New Roman" w:eastAsia="宋体" w:cs="Times New Roman"/>
          <w:lang w:eastAsia="zh-CN"/>
        </w:rPr>
        <w:t>值（</w:t>
      </w:r>
      <w:r>
        <w:rPr>
          <w:rFonts w:hint="default" w:ascii="Times New Roman" w:hAnsi="Times New Roman" w:cs="Times New Roman"/>
        </w:rPr>
        <w:t>km</w:t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 w14:paraId="0784F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i/>
          <w:iCs/>
        </w:rPr>
        <w:t>L</w:t>
      </w:r>
      <w:r>
        <w:rPr>
          <w:rFonts w:hint="default" w:ascii="Times New Roman" w:hAnsi="Times New Roman" w:eastAsia="宋体" w:cs="Times New Roman"/>
          <w:i w:val="0"/>
          <w:iCs w:val="0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——试验车辆</w:t>
      </w:r>
      <w:r>
        <w:rPr>
          <w:rFonts w:hint="default" w:ascii="Times New Roman" w:hAnsi="Times New Roman" w:eastAsia="宋体" w:cs="Times New Roman"/>
          <w:lang w:eastAsia="zh-CN"/>
        </w:rPr>
        <w:t>进入</w:t>
      </w:r>
      <w:r>
        <w:rPr>
          <w:rFonts w:hint="eastAsia" w:ascii="Times New Roman" w:hAnsi="Times New Roman" w:eastAsia="宋体" w:cs="Times New Roman"/>
          <w:lang w:eastAsia="zh-CN"/>
        </w:rPr>
        <w:t>测量</w:t>
      </w:r>
      <w:r>
        <w:rPr>
          <w:rFonts w:hint="default" w:ascii="Times New Roman" w:hAnsi="Times New Roman" w:cs="Times New Roman"/>
        </w:rPr>
        <w:t>区间</w:t>
      </w:r>
      <w:r>
        <w:rPr>
          <w:rFonts w:hint="default" w:ascii="Times New Roman" w:hAnsi="Times New Roman" w:eastAsia="宋体" w:cs="Times New Roman"/>
          <w:lang w:eastAsia="zh-CN"/>
        </w:rPr>
        <w:t>时路</w:t>
      </w:r>
      <w:r>
        <w:rPr>
          <w:rFonts w:hint="default" w:ascii="Times New Roman" w:hAnsi="Times New Roman" w:cs="Times New Roman"/>
        </w:rPr>
        <w:t>程实际测量</w:t>
      </w:r>
      <w:r>
        <w:rPr>
          <w:rFonts w:hint="default" w:ascii="Times New Roman" w:hAnsi="Times New Roman" w:eastAsia="宋体" w:cs="Times New Roman"/>
          <w:lang w:eastAsia="zh-CN"/>
        </w:rPr>
        <w:t>值（</w:t>
      </w:r>
      <w:r>
        <w:rPr>
          <w:rFonts w:hint="default" w:ascii="Times New Roman" w:hAnsi="Times New Roman" w:cs="Times New Roman"/>
        </w:rPr>
        <w:t>km</w:t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 w14:paraId="0D43E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4"/>
          <w:lang w:val="en-US" w:eastAsia="zh-CN"/>
        </w:rPr>
        <w:object>
          <v:shape id="_x0000_i1028" o:spt="75" type="#_x0000_t75" style="height:13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——</w:t>
      </w:r>
      <w:r>
        <w:rPr>
          <w:rFonts w:hint="default" w:ascii="Times New Roman" w:hAnsi="Times New Roman" w:eastAsia="宋体" w:cs="Times New Roman"/>
          <w:lang w:eastAsia="zh-CN"/>
        </w:rPr>
        <w:t>区间内路程实际测量值（</w:t>
      </w:r>
      <w:r>
        <w:rPr>
          <w:rFonts w:hint="default" w:ascii="Times New Roman" w:hAnsi="Times New Roman" w:cs="Times New Roman"/>
        </w:rPr>
        <w:t>km</w:t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 w14:paraId="73F93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i/>
          <w:iCs/>
        </w:rPr>
        <w:t>t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——试验车辆离开</w:t>
      </w:r>
      <w:r>
        <w:rPr>
          <w:rFonts w:hint="eastAsia" w:ascii="Times New Roman" w:hAnsi="Times New Roman" w:eastAsia="宋体" w:cs="Times New Roman"/>
          <w:lang w:eastAsia="zh-CN"/>
        </w:rPr>
        <w:t>测量</w:t>
      </w:r>
      <w:r>
        <w:rPr>
          <w:rFonts w:hint="default" w:ascii="Times New Roman" w:hAnsi="Times New Roman" w:cs="Times New Roman"/>
        </w:rPr>
        <w:t>区间</w:t>
      </w:r>
      <w:r>
        <w:rPr>
          <w:rFonts w:hint="default" w:ascii="Times New Roman" w:hAnsi="Times New Roman" w:eastAsia="宋体" w:cs="Times New Roman"/>
          <w:lang w:eastAsia="zh-CN"/>
        </w:rPr>
        <w:t>的</w:t>
      </w:r>
      <w:r>
        <w:rPr>
          <w:rFonts w:hint="default" w:ascii="Times New Roman" w:hAnsi="Times New Roman" w:cs="Times New Roman"/>
        </w:rPr>
        <w:t>时刻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 w14:paraId="4FBCA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i/>
          <w:iCs/>
        </w:rPr>
        <w:t>t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——试验车辆进入</w:t>
      </w:r>
      <w:r>
        <w:rPr>
          <w:rFonts w:hint="eastAsia" w:ascii="Times New Roman" w:hAnsi="Times New Roman" w:eastAsia="宋体" w:cs="Times New Roman"/>
          <w:lang w:eastAsia="zh-CN"/>
        </w:rPr>
        <w:t>测量</w:t>
      </w:r>
      <w:r>
        <w:rPr>
          <w:rFonts w:hint="default" w:ascii="Times New Roman" w:hAnsi="Times New Roman" w:cs="Times New Roman"/>
        </w:rPr>
        <w:t>区间</w:t>
      </w:r>
      <w:r>
        <w:rPr>
          <w:rFonts w:hint="default" w:ascii="Times New Roman" w:hAnsi="Times New Roman" w:eastAsia="宋体" w:cs="Times New Roman"/>
          <w:lang w:eastAsia="zh-CN"/>
        </w:rPr>
        <w:t>的</w:t>
      </w:r>
      <w:r>
        <w:rPr>
          <w:rFonts w:hint="default" w:ascii="Times New Roman" w:hAnsi="Times New Roman" w:cs="Times New Roman"/>
        </w:rPr>
        <w:t>时刻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 w14:paraId="50B8F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position w:val="-6"/>
        </w:rPr>
        <w:object>
          <v:shape id="_x0000_i1029" o:spt="75" type="#_x0000_t75" style="height:13.95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——试验车辆</w:t>
      </w:r>
      <w:r>
        <w:rPr>
          <w:rFonts w:hint="default" w:ascii="Times New Roman" w:hAnsi="Times New Roman" w:eastAsia="宋体" w:cs="Times New Roman"/>
          <w:lang w:eastAsia="zh-CN"/>
        </w:rPr>
        <w:t>在</w:t>
      </w:r>
      <w:r>
        <w:rPr>
          <w:rFonts w:hint="default" w:ascii="Times New Roman" w:hAnsi="Times New Roman" w:cs="Times New Roman"/>
        </w:rPr>
        <w:t>区间</w:t>
      </w:r>
      <w:r>
        <w:rPr>
          <w:rFonts w:hint="default" w:ascii="Times New Roman" w:hAnsi="Times New Roman" w:eastAsia="宋体" w:cs="Times New Roman"/>
          <w:lang w:eastAsia="zh-CN"/>
        </w:rPr>
        <w:t>内行驶的</w:t>
      </w:r>
      <w:r>
        <w:rPr>
          <w:rFonts w:hint="default" w:ascii="Times New Roman" w:hAnsi="Times New Roman" w:cs="Times New Roman"/>
        </w:rPr>
        <w:t>时间间隔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 w14:paraId="517E5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eastAsia="zh-CN"/>
        </w:rPr>
      </w:pPr>
    </w:p>
    <w:p w14:paraId="50D5B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eastAsia="zh-CN"/>
        </w:rPr>
      </w:pPr>
    </w:p>
    <w:p w14:paraId="1708068B">
      <w:pPr>
        <w:numPr>
          <w:ilvl w:val="0"/>
          <w:numId w:val="0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2.2 </w:t>
      </w:r>
      <w:r>
        <w:rPr>
          <w:rFonts w:hint="default" w:ascii="Times New Roman" w:hAnsi="Times New Roman" w:cs="Times New Roman"/>
        </w:rPr>
        <w:t>灵敏系数</w:t>
      </w:r>
    </w:p>
    <w:p w14:paraId="003B0DDC">
      <w:pPr>
        <w:numPr>
          <w:ilvl w:val="0"/>
          <w:numId w:val="0"/>
        </w:num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position w:val="-24"/>
          <w:lang w:eastAsia="zh-CN"/>
        </w:rPr>
        <w:object>
          <v:shape id="_x0000_i1030" o:spt="75" type="#_x0000_t75" style="height:31pt;width:8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 w14:paraId="0B245C96">
      <w:pPr>
        <w:numPr>
          <w:ilvl w:val="0"/>
          <w:numId w:val="0"/>
        </w:num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position w:val="-24"/>
          <w:lang w:eastAsia="zh-CN"/>
        </w:rPr>
        <w:object>
          <v:shape id="_x0000_i1031" o:spt="75" type="#_x0000_t75" style="height:31pt;width:7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 w14:paraId="312574C8">
      <w:pPr>
        <w:numPr>
          <w:ilvl w:val="0"/>
          <w:numId w:val="0"/>
        </w:numPr>
        <w:rPr>
          <w:rFonts w:hint="default" w:ascii="Times New Roman" w:hAnsi="Times New Roman" w:cs="Times New Roman" w:eastAsiaTheme="majorEastAsia"/>
          <w:b/>
          <w:bCs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lang w:val="en-US" w:eastAsia="zh-CN"/>
        </w:rPr>
        <w:t>3、 不确定度的来源</w:t>
      </w:r>
    </w:p>
    <w:p w14:paraId="21F452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测量不确定度的主要来源有：</w:t>
      </w:r>
      <w:r>
        <w:rPr>
          <w:rFonts w:hint="eastAsia" w:ascii="Times New Roman" w:hAnsi="Times New Roman" w:eastAsia="宋体" w:cs="Times New Roman"/>
          <w:lang w:eastAsia="zh-CN"/>
        </w:rPr>
        <w:t>距离</w:t>
      </w:r>
      <w:r>
        <w:rPr>
          <w:rFonts w:hint="default" w:ascii="Times New Roman" w:hAnsi="Times New Roman" w:eastAsia="宋体" w:cs="Times New Roman"/>
          <w:lang w:eastAsia="zh-CN"/>
        </w:rPr>
        <w:t>和时间的测量重复性引入的不确定度分量；汽车行驶方向与区间道路中心线方向不平行引入的不确定度分量；标准装置引入的不确定度分量</w:t>
      </w:r>
      <w:r>
        <w:rPr>
          <w:rFonts w:hint="eastAsia" w:ascii="Times New Roman" w:hAnsi="Times New Roman" w:eastAsia="宋体" w:cs="Times New Roman"/>
          <w:lang w:eastAsia="zh-CN"/>
        </w:rPr>
        <w:t>（包括标准测距仪</w:t>
      </w:r>
      <w:r>
        <w:rPr>
          <w:rFonts w:hint="default" w:ascii="Times New Roman" w:hAnsi="Times New Roman" w:eastAsia="宋体" w:cs="Times New Roman"/>
          <w:lang w:eastAsia="zh-CN"/>
        </w:rPr>
        <w:t>最大允许误差引入的不确定度分量，分辨力引入的不确定度分量，</w:t>
      </w:r>
      <w:r>
        <w:rPr>
          <w:rFonts w:hint="eastAsia" w:ascii="Times New Roman" w:hAnsi="Times New Roman" w:eastAsia="宋体" w:cs="Times New Roman"/>
          <w:lang w:eastAsia="zh-CN"/>
        </w:rPr>
        <w:t>标准时钟</w:t>
      </w:r>
      <w:r>
        <w:rPr>
          <w:rFonts w:hint="default" w:ascii="Times New Roman" w:hAnsi="Times New Roman" w:eastAsia="宋体" w:cs="Times New Roman"/>
          <w:lang w:eastAsia="zh-CN"/>
        </w:rPr>
        <w:t>最大允许误差引入的不确定度分量</w:t>
      </w:r>
      <w:r>
        <w:rPr>
          <w:rFonts w:hint="eastAsia" w:ascii="Times New Roman" w:hAnsi="Times New Roman" w:eastAsia="宋体" w:cs="Times New Roman"/>
          <w:lang w:eastAsia="zh-CN"/>
        </w:rPr>
        <w:t>）。</w:t>
      </w:r>
    </w:p>
    <w:p w14:paraId="2615D0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4、不确定度分量的评定</w:t>
      </w:r>
    </w:p>
    <w:p w14:paraId="6F0793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 xml:space="preserve">4.1 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lang w:val="en-US" w:eastAsia="zh-CN"/>
        </w:rPr>
        <w:t>区间路程的测量重复性引入的标准不确定度</w:t>
      </w:r>
      <w:r>
        <w:rPr>
          <w:rFonts w:hint="default" w:ascii="Times New Roman" w:hAnsi="Times New Roman" w:eastAsia="宋体" w:cs="Times New Roman"/>
          <w:position w:val="-10"/>
          <w:lang w:eastAsia="zh-CN"/>
        </w:rPr>
        <w:object>
          <v:shape id="_x0000_i1032" o:spt="75" type="#_x0000_t75" style="height:17pt;width:3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 w14:paraId="32E2F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  用A类方法进行评定，用标准测距仪安装在试验车上，以100km/h定速巡航对5km路程的测速区间测量10次，结果如下：</w:t>
      </w:r>
    </w:p>
    <w:tbl>
      <w:tblPr>
        <w:tblStyle w:val="2"/>
        <w:tblW w:w="10860" w:type="dxa"/>
        <w:tblInd w:w="-9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14:paraId="29A1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 w14:paraId="5CB887DB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测量</w:t>
            </w:r>
            <w:r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  <w:t>次</w:t>
            </w:r>
            <w:r>
              <w:rPr>
                <w:rFonts w:hint="default" w:ascii="Times New Roman" w:hAnsi="Times New Roman" w:cs="Times New Roman"/>
                <w:szCs w:val="21"/>
              </w:rPr>
              <w:t>数</w:t>
            </w:r>
          </w:p>
        </w:tc>
        <w:tc>
          <w:tcPr>
            <w:tcW w:w="975" w:type="dxa"/>
            <w:vAlign w:val="center"/>
          </w:tcPr>
          <w:p w14:paraId="51F1E8DB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975" w:type="dxa"/>
            <w:vAlign w:val="center"/>
          </w:tcPr>
          <w:p w14:paraId="0AB6AE43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975" w:type="dxa"/>
            <w:vAlign w:val="center"/>
          </w:tcPr>
          <w:p w14:paraId="6C18C032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975" w:type="dxa"/>
            <w:vAlign w:val="center"/>
          </w:tcPr>
          <w:p w14:paraId="63F7D88A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975" w:type="dxa"/>
            <w:vAlign w:val="center"/>
          </w:tcPr>
          <w:p w14:paraId="6EB9E59C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975" w:type="dxa"/>
            <w:vAlign w:val="center"/>
          </w:tcPr>
          <w:p w14:paraId="05748466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975" w:type="dxa"/>
            <w:vAlign w:val="center"/>
          </w:tcPr>
          <w:p w14:paraId="33D37ACE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7</w:t>
            </w:r>
          </w:p>
        </w:tc>
        <w:tc>
          <w:tcPr>
            <w:tcW w:w="975" w:type="dxa"/>
            <w:vAlign w:val="center"/>
          </w:tcPr>
          <w:p w14:paraId="33988823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975" w:type="dxa"/>
            <w:vAlign w:val="center"/>
          </w:tcPr>
          <w:p w14:paraId="1FFB85C5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9</w:t>
            </w:r>
          </w:p>
        </w:tc>
        <w:tc>
          <w:tcPr>
            <w:tcW w:w="975" w:type="dxa"/>
            <w:vAlign w:val="center"/>
          </w:tcPr>
          <w:p w14:paraId="16F0E5CA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</w:tr>
      <w:tr w14:paraId="352D0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110" w:type="dxa"/>
            <w:vAlign w:val="center"/>
          </w:tcPr>
          <w:p w14:paraId="71742849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测量值</w:t>
            </w:r>
            <w:r>
              <w:rPr>
                <w:rFonts w:hint="default" w:ascii="Times New Roman" w:hAnsi="Times New Roman" w:cs="Times New Roman"/>
                <w:position w:val="-4"/>
                <w:szCs w:val="21"/>
              </w:rPr>
              <w:object>
                <v:shape id="_x0000_i1033" o:spt="75" type="#_x0000_t75" style="height:13pt;width:18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2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zCs w:val="21"/>
              </w:rPr>
              <w:t>（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km</w:t>
            </w:r>
            <w:r>
              <w:rPr>
                <w:rFonts w:hint="default" w:ascii="Times New Roman" w:hAnsi="Times New Roman" w:cs="Times New Roman"/>
                <w:szCs w:val="21"/>
              </w:rPr>
              <w:t>）</w:t>
            </w:r>
          </w:p>
        </w:tc>
        <w:tc>
          <w:tcPr>
            <w:tcW w:w="975" w:type="dxa"/>
            <w:vAlign w:val="center"/>
          </w:tcPr>
          <w:p w14:paraId="403775E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5.0355</w:t>
            </w:r>
          </w:p>
        </w:tc>
        <w:tc>
          <w:tcPr>
            <w:tcW w:w="975" w:type="dxa"/>
            <w:vAlign w:val="center"/>
          </w:tcPr>
          <w:p w14:paraId="5587CF2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5.0287</w:t>
            </w:r>
          </w:p>
        </w:tc>
        <w:tc>
          <w:tcPr>
            <w:tcW w:w="975" w:type="dxa"/>
            <w:vAlign w:val="center"/>
          </w:tcPr>
          <w:p w14:paraId="631C0088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5.0382</w:t>
            </w:r>
          </w:p>
        </w:tc>
        <w:tc>
          <w:tcPr>
            <w:tcW w:w="975" w:type="dxa"/>
            <w:vAlign w:val="center"/>
          </w:tcPr>
          <w:p w14:paraId="133CFC23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5.0108</w:t>
            </w:r>
          </w:p>
        </w:tc>
        <w:tc>
          <w:tcPr>
            <w:tcW w:w="975" w:type="dxa"/>
            <w:vAlign w:val="center"/>
          </w:tcPr>
          <w:p w14:paraId="572FA79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5.0112</w:t>
            </w:r>
          </w:p>
        </w:tc>
        <w:tc>
          <w:tcPr>
            <w:tcW w:w="975" w:type="dxa"/>
            <w:vAlign w:val="center"/>
          </w:tcPr>
          <w:p w14:paraId="10795E06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5.0275</w:t>
            </w:r>
          </w:p>
        </w:tc>
        <w:tc>
          <w:tcPr>
            <w:tcW w:w="975" w:type="dxa"/>
            <w:vAlign w:val="center"/>
          </w:tcPr>
          <w:p w14:paraId="6CD047F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5.0129</w:t>
            </w:r>
          </w:p>
        </w:tc>
        <w:tc>
          <w:tcPr>
            <w:tcW w:w="975" w:type="dxa"/>
            <w:vAlign w:val="center"/>
          </w:tcPr>
          <w:p w14:paraId="5DB6944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5.0296</w:t>
            </w:r>
          </w:p>
        </w:tc>
        <w:tc>
          <w:tcPr>
            <w:tcW w:w="975" w:type="dxa"/>
            <w:vAlign w:val="center"/>
          </w:tcPr>
          <w:p w14:paraId="5E5DE23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5.0117</w:t>
            </w:r>
          </w:p>
        </w:tc>
        <w:tc>
          <w:tcPr>
            <w:tcW w:w="975" w:type="dxa"/>
            <w:vAlign w:val="center"/>
          </w:tcPr>
          <w:p w14:paraId="3731D9B8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5.0166</w:t>
            </w:r>
          </w:p>
        </w:tc>
      </w:tr>
      <w:tr w14:paraId="38EC8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110" w:type="dxa"/>
            <w:vAlign w:val="center"/>
          </w:tcPr>
          <w:p w14:paraId="62C12D2C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平均值（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km</w:t>
            </w:r>
            <w:r>
              <w:rPr>
                <w:rFonts w:hint="default" w:ascii="Times New Roman" w:hAnsi="Times New Roman" w:cs="Times New Roman"/>
                <w:szCs w:val="21"/>
              </w:rPr>
              <w:t>）</w:t>
            </w:r>
          </w:p>
        </w:tc>
        <w:tc>
          <w:tcPr>
            <w:tcW w:w="3900" w:type="dxa"/>
            <w:gridSpan w:val="4"/>
            <w:vAlign w:val="center"/>
          </w:tcPr>
          <w:p w14:paraId="3EC4CA2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5.02227</w:t>
            </w:r>
          </w:p>
        </w:tc>
        <w:tc>
          <w:tcPr>
            <w:tcW w:w="1950" w:type="dxa"/>
            <w:gridSpan w:val="2"/>
            <w:vAlign w:val="center"/>
          </w:tcPr>
          <w:p w14:paraId="78D8A378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标准差（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km</w:t>
            </w:r>
            <w:r>
              <w:rPr>
                <w:rFonts w:hint="default" w:ascii="Times New Roman" w:hAnsi="Times New Roman" w:cs="Times New Roman"/>
                <w:szCs w:val="21"/>
              </w:rPr>
              <w:t>）</w:t>
            </w:r>
          </w:p>
        </w:tc>
        <w:tc>
          <w:tcPr>
            <w:tcW w:w="3900" w:type="dxa"/>
            <w:gridSpan w:val="4"/>
            <w:vAlign w:val="center"/>
          </w:tcPr>
          <w:p w14:paraId="143776DC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0.011</w:t>
            </w:r>
          </w:p>
        </w:tc>
      </w:tr>
    </w:tbl>
    <w:p w14:paraId="200413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eastAsia="zh-CN"/>
        </w:rPr>
        <w:t>单次实验标准差为：</w:t>
      </w:r>
      <w:r>
        <w:rPr>
          <w:rFonts w:ascii="宋体" w:hAnsi="宋体"/>
          <w:position w:val="-26"/>
          <w:szCs w:val="21"/>
        </w:rPr>
        <w:object>
          <v:shape id="_x0000_i1034" o:spt="75" type="#_x0000_t75" style="height:51.75pt;width:138.5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=0.0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11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km</w:t>
      </w:r>
    </w:p>
    <w:p w14:paraId="6AE343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所以，</w:t>
      </w:r>
      <w:r>
        <w:rPr>
          <w:rFonts w:hint="default" w:ascii="Times New Roman" w:hAnsi="Times New Roman" w:eastAsia="宋体" w:cs="Times New Roman"/>
          <w:position w:val="-10"/>
          <w:lang w:eastAsia="zh-CN"/>
        </w:rPr>
        <w:object>
          <v:shape id="_x0000_i1035" o:spt="75" type="#_x0000_t75" style="height:17pt;width:5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=0.0</w:t>
      </w:r>
      <w:r>
        <w:rPr>
          <w:rFonts w:hint="eastAsia" w:ascii="Times New Roman" w:hAnsi="Times New Roman" w:cs="Times New Roman"/>
          <w:lang w:val="en-US" w:eastAsia="zh-CN"/>
        </w:rPr>
        <w:t>11</w:t>
      </w:r>
      <w:r>
        <w:rPr>
          <w:rFonts w:hint="default" w:ascii="Times New Roman" w:hAnsi="Times New Roman" w:cs="Times New Roman"/>
          <w:lang w:val="en-US" w:eastAsia="zh-CN"/>
        </w:rPr>
        <w:t xml:space="preserve"> km</w:t>
      </w:r>
    </w:p>
    <w:p w14:paraId="59E633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另外，时间间隔偏差重复性引入的不确定度非常小，故忽略时间的测量重复性引入的不确定度分量。</w:t>
      </w:r>
    </w:p>
    <w:p w14:paraId="18C803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</w:p>
    <w:p w14:paraId="1E3EAC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4.2 汽车行驶方向与区间道路中心线方向不平行引入的不确定度分量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6" o:spt="75" type="#_x0000_t75" style="height:17pt;width:3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</w:p>
    <w:p w14:paraId="7E8230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理论上尽管要求汽车行驶方向必须与区间道路中心线方向保持平行，但是在实际测量中，汽车的行驶方向不可避免的会与之倾斜一个角度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7" o:spt="75" type="#_x0000_t75" style="height:16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，则实际行驶距离</w:t>
      </w:r>
      <w:r>
        <w:rPr>
          <w:rFonts w:hint="eastAsia" w:ascii="Times New Roman" w:hAnsi="Times New Roman" w:cs="Times New Roman"/>
          <w:position w:val="-28"/>
          <w:lang w:val="en-US" w:eastAsia="zh-CN"/>
        </w:rPr>
        <w:object>
          <v:shape id="_x0000_i1038" o:spt="75" type="#_x0000_t75" style="height:33pt;width:6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，因此会导致标准测距仪的路程测量值比理论值偏大。实际测量中，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9" o:spt="75" type="#_x0000_t75" style="height:16pt;width:1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控制在±10°范围内，由此产生的测量误差为</w:t>
      </w:r>
    </w:p>
    <w:p w14:paraId="3A6EF7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540" w:firstLineChars="700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position w:val="-28"/>
          <w:lang w:val="en-US" w:eastAsia="zh-CN"/>
        </w:rPr>
        <w:object>
          <v:shape id="_x0000_i1040" o:spt="75" type="#_x0000_t75" style="height:33pt;width:21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0.077 km</w:t>
      </w:r>
    </w:p>
    <w:p w14:paraId="50FDB5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按均匀分布处理，半宽为0.0385km，包含因子取</w:t>
      </w:r>
      <w:r>
        <w:rPr>
          <w:rFonts w:hint="eastAsia" w:ascii="Times New Roman" w:hAnsi="Times New Roman" w:cs="Times New Roman"/>
          <w:position w:val="-8"/>
          <w:lang w:val="en-US" w:eastAsia="zh-CN"/>
        </w:rPr>
        <w:object>
          <v:shape id="_x0000_i1041" o:spt="75" type="#_x0000_t75" style="height:18pt;width:3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，则不确定度分量为</w:t>
      </w:r>
    </w:p>
    <w:p w14:paraId="6EDCD0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20" w:firstLineChars="1100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position w:val="-28"/>
          <w:lang w:val="en-US" w:eastAsia="zh-CN"/>
        </w:rPr>
        <w:object>
          <v:shape id="_x0000_i1042" o:spt="75" type="#_x0000_t75" style="height:33pt;width:12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km</w:t>
      </w:r>
    </w:p>
    <w:p w14:paraId="37A1DDB4">
      <w:p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4.3 标准测距仪最大允许误差引入的不确定度分量</w:t>
      </w:r>
      <w:r>
        <w:rPr>
          <w:rFonts w:hint="eastAsia" w:ascii="Times New Roman" w:hAnsi="Times New Roman" w:eastAsia="宋体" w:cs="Times New Roman"/>
          <w:position w:val="-12"/>
          <w:lang w:val="en-US" w:eastAsia="zh-CN"/>
        </w:rPr>
        <w:object>
          <v:shape id="_x0000_i1043" o:spt="75" type="#_x0000_t75" style="height:18pt;width:3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 w14:paraId="020EA01D">
      <w:pPr>
        <w:ind w:firstLine="44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标准测距仪溯源证书上标注的最大允许误差为0.1%，则在5km里程中的最大允许误差为：5×0.1%=0.005 km。按均匀分布处理，去包含因子</w:t>
      </w:r>
      <w:r>
        <w:rPr>
          <w:rFonts w:hint="eastAsia" w:ascii="Times New Roman" w:hAnsi="Times New Roman" w:cs="Times New Roman"/>
          <w:position w:val="-8"/>
          <w:lang w:val="en-US" w:eastAsia="zh-CN"/>
        </w:rPr>
        <w:object>
          <v:shape id="_x0000_i1044" o:spt="75" type="#_x0000_t75" style="height:18pt;width:3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，其不确定度分量为</w:t>
      </w:r>
    </w:p>
    <w:p w14:paraId="7AB5C573">
      <w:pPr>
        <w:ind w:firstLine="2420" w:firstLineChars="11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position w:val="-28"/>
          <w:lang w:val="en-US" w:eastAsia="zh-CN"/>
        </w:rPr>
        <w:object>
          <v:shape id="_x0000_i1045" o:spt="75" type="#_x0000_t75" style="height:33pt;width:12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km</w:t>
      </w:r>
    </w:p>
    <w:p w14:paraId="4DFC7E3F"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4.4 </w:t>
      </w:r>
      <w:r>
        <w:rPr>
          <w:rFonts w:hint="eastAsia" w:ascii="Times New Roman" w:hAnsi="Times New Roman" w:eastAsia="宋体" w:cs="Times New Roman"/>
          <w:lang w:val="en-US" w:eastAsia="zh-CN"/>
        </w:rPr>
        <w:t>标准测距仪</w:t>
      </w:r>
      <w:r>
        <w:rPr>
          <w:rFonts w:hint="eastAsia" w:ascii="Times New Roman" w:hAnsi="Times New Roman" w:cs="Times New Roman"/>
          <w:lang w:val="en-US" w:eastAsia="zh-CN"/>
        </w:rPr>
        <w:t>分辨力引入的不确定度分量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46" o:spt="75" type="#_x0000_t75" style="height:17pt;width:3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</w:p>
    <w:p w14:paraId="2873AABC">
      <w:pPr>
        <w:ind w:firstLine="44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标准测距仪</w:t>
      </w:r>
      <w:r>
        <w:rPr>
          <w:rFonts w:hint="eastAsia" w:ascii="Times New Roman" w:hAnsi="Times New Roman" w:cs="Times New Roman"/>
          <w:lang w:val="en-US" w:eastAsia="zh-CN"/>
        </w:rPr>
        <w:t>分辨力为0.0001km，取其半宽为0.00005km，按均匀分布处理，取包含因子</w:t>
      </w:r>
      <w:r>
        <w:rPr>
          <w:rFonts w:hint="eastAsia" w:ascii="Times New Roman" w:hAnsi="Times New Roman" w:cs="Times New Roman"/>
          <w:position w:val="-8"/>
          <w:lang w:val="en-US" w:eastAsia="zh-CN"/>
        </w:rPr>
        <w:object>
          <v:shape id="_x0000_i1047" o:spt="75" type="#_x0000_t75" style="height:18pt;width:3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，则其不确定度分量为</w:t>
      </w:r>
    </w:p>
    <w:p w14:paraId="4D111488">
      <w:pPr>
        <w:ind w:firstLine="44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           </w:t>
      </w:r>
      <w:r>
        <w:rPr>
          <w:rFonts w:hint="eastAsia" w:ascii="Times New Roman" w:hAnsi="Times New Roman" w:cs="Times New Roman"/>
          <w:position w:val="-28"/>
          <w:lang w:val="en-US" w:eastAsia="zh-CN"/>
        </w:rPr>
        <w:object>
          <v:shape id="_x0000_i1048" o:spt="75" type="#_x0000_t75" style="height:33pt;width:14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km</w:t>
      </w:r>
    </w:p>
    <w:p w14:paraId="5F5FFEC9"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4.5 标准时钟最大允许误差引入的不确定度分量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49" o:spt="75" type="#_x0000_t75" style="height:17pt;width:31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</w:p>
    <w:p w14:paraId="235D30D1">
      <w:pPr>
        <w:ind w:firstLine="440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标准时钟的最大允许误差要满足日差±0.1s/d，实际测量中试验车行驶过区间的时间间隔大约为180s左右，则180s内的标准时间最大允许误差为</w:t>
      </w:r>
    </w:p>
    <w:p w14:paraId="0C9AE458">
      <w:pPr>
        <w:ind w:firstLine="2420" w:firstLineChars="11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position w:val="-24"/>
          <w:lang w:val="en-US" w:eastAsia="zh-CN"/>
        </w:rPr>
        <w:object>
          <v:shape id="_x0000_i1050" o:spt="75" type="#_x0000_t75" style="height:31pt;width:9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s</w:t>
      </w:r>
    </w:p>
    <w:p w14:paraId="505F8927"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按均匀分布处理，取包含因子</w:t>
      </w:r>
      <w:r>
        <w:rPr>
          <w:rFonts w:hint="eastAsia" w:ascii="Times New Roman" w:hAnsi="Times New Roman" w:cs="Times New Roman"/>
          <w:position w:val="-8"/>
          <w:lang w:val="en-US" w:eastAsia="zh-CN"/>
        </w:rPr>
        <w:object>
          <v:shape id="_x0000_i1051" o:spt="75" type="#_x0000_t75" style="height:18pt;width:3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，则其不确定度分量为</w:t>
      </w:r>
    </w:p>
    <w:p w14:paraId="07A8CBBD">
      <w:pPr>
        <w:ind w:firstLine="1540" w:firstLineChars="7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position w:val="-28"/>
          <w:lang w:val="en-US" w:eastAsia="zh-CN"/>
        </w:rPr>
        <w:object>
          <v:shape id="_x0000_i1052" o:spt="75" type="#_x0000_t75" style="height:33pt;width:13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s=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53" o:spt="75" type="#_x0000_t75" style="height:16pt;width:4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h</w:t>
      </w:r>
    </w:p>
    <w:p w14:paraId="528A350E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5、灵敏系数计算</w:t>
      </w:r>
    </w:p>
    <w:p w14:paraId="5CB469B4">
      <w:pPr>
        <w:rPr>
          <w:rFonts w:hint="eastAsia" w:ascii="Times New Roman" w:hAnsi="Times New Roman" w:cs="Times New Roman"/>
          <w:vertAlign w:val="superscript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24"/>
          <w:lang w:eastAsia="zh-CN"/>
        </w:rPr>
        <w:object>
          <v:shape id="_x0000_i1054" o:spt="75" type="#_x0000_t75" style="height:31pt;width:12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h</w:t>
      </w:r>
      <w:r>
        <w:rPr>
          <w:rFonts w:hint="eastAsia" w:ascii="Times New Roman" w:hAnsi="Times New Roman" w:cs="Times New Roman"/>
          <w:vertAlign w:val="superscript"/>
          <w:lang w:val="en-US" w:eastAsia="zh-CN"/>
        </w:rPr>
        <w:t>-1</w:t>
      </w:r>
      <w:r>
        <w:rPr>
          <w:rFonts w:hint="eastAsia" w:ascii="Times New Roman" w:hAnsi="Times New Roman" w:cs="Times New Roman"/>
          <w:vertAlign w:val="baseline"/>
          <w:lang w:val="en-US" w:eastAsia="zh-CN"/>
        </w:rPr>
        <w:t>= -20 h</w:t>
      </w:r>
      <w:r>
        <w:rPr>
          <w:rFonts w:hint="eastAsia" w:ascii="Times New Roman" w:hAnsi="Times New Roman" w:cs="Times New Roman"/>
          <w:vertAlign w:val="superscript"/>
          <w:lang w:val="en-US" w:eastAsia="zh-CN"/>
        </w:rPr>
        <w:t>-1</w:t>
      </w:r>
    </w:p>
    <w:p w14:paraId="0E7151AE">
      <w:pPr>
        <w:rPr>
          <w:rFonts w:hint="eastAsia" w:ascii="Times New Roman" w:hAnsi="Times New Roman" w:cs="Times New Roman"/>
          <w:vertAlign w:val="superscript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66"/>
          <w:lang w:eastAsia="zh-CN"/>
        </w:rPr>
        <w:object>
          <v:shape id="_x0000_i1055" o:spt="75" type="#_x0000_t75" style="height:52pt;width:183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km</w:t>
      </w:r>
      <w:r>
        <w:rPr>
          <w:rFonts w:hint="eastAsia" w:ascii="Times New Roman" w:hAnsi="Times New Roman" w:cs="Times New Roman"/>
          <w:lang w:val="en-US" w:eastAsia="zh-CN"/>
        </w:rPr>
        <w:t>•h</w:t>
      </w:r>
      <w:r>
        <w:rPr>
          <w:rFonts w:hint="eastAsia" w:ascii="Times New Roman" w:hAnsi="Times New Roman" w:cs="Times New Roman"/>
          <w:vertAlign w:val="superscript"/>
          <w:lang w:val="en-US" w:eastAsia="zh-CN"/>
        </w:rPr>
        <w:t>-2</w:t>
      </w:r>
    </w:p>
    <w:p w14:paraId="1C89532C">
      <w:pPr>
        <w:numPr>
          <w:ilvl w:val="0"/>
          <w:numId w:val="0"/>
        </w:num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6、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合成标准不确定度</w:t>
      </w:r>
    </w:p>
    <w:p w14:paraId="0ECB59BF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6.1 主要标准不确定度汇总表</w:t>
      </w:r>
    </w:p>
    <w:tbl>
      <w:tblPr>
        <w:tblStyle w:val="2"/>
        <w:tblW w:w="9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29"/>
        <w:gridCol w:w="2490"/>
        <w:gridCol w:w="1875"/>
        <w:gridCol w:w="1905"/>
        <w:gridCol w:w="2073"/>
      </w:tblGrid>
      <w:tr w14:paraId="1753F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1" w:hRule="atLeast"/>
          <w:jc w:val="center"/>
        </w:trPr>
        <w:tc>
          <w:tcPr>
            <w:tcW w:w="1129" w:type="dxa"/>
            <w:vAlign w:val="center"/>
          </w:tcPr>
          <w:p w14:paraId="7AD5D5F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不确定度分量</w:t>
            </w:r>
          </w:p>
        </w:tc>
        <w:tc>
          <w:tcPr>
            <w:tcW w:w="2490" w:type="dxa"/>
            <w:vAlign w:val="center"/>
          </w:tcPr>
          <w:p w14:paraId="02B97E2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不确定度来源</w:t>
            </w:r>
          </w:p>
        </w:tc>
        <w:tc>
          <w:tcPr>
            <w:tcW w:w="1875" w:type="dxa"/>
            <w:vAlign w:val="center"/>
          </w:tcPr>
          <w:p w14:paraId="13F5B19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标准不确定度值</w:t>
            </w:r>
          </w:p>
        </w:tc>
        <w:tc>
          <w:tcPr>
            <w:tcW w:w="1905" w:type="dxa"/>
            <w:vAlign w:val="center"/>
          </w:tcPr>
          <w:p w14:paraId="3653140F"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灵敏系数</w:t>
            </w:r>
            <w:r>
              <w:rPr>
                <w:rFonts w:hint="eastAsia" w:ascii="Times New Roman" w:hAnsi="Times New Roman" w:eastAsia="宋体" w:cs="Times New Roman"/>
                <w:position w:val="-12"/>
                <w:lang w:val="en-US" w:eastAsia="zh-CN"/>
              </w:rPr>
              <w:object>
                <v:shape id="_x0000_i1056" o:spt="75" type="#_x0000_t75" style="height:18pt;width:11pt;" o:ole="t" filled="f" o:preferrelative="t" stroked="f" coordsize="21600,21600">
                  <v:path/>
                  <v:fill on="f" focussize="0,0"/>
                  <v:stroke on="f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KSEE3" ShapeID="_x0000_i1056" DrawAspect="Content" ObjectID="_1468075756" r:id="rId65">
                  <o:LockedField>false</o:LockedField>
                </o:OLEObject>
              </w:object>
            </w:r>
          </w:p>
        </w:tc>
        <w:tc>
          <w:tcPr>
            <w:tcW w:w="2073" w:type="dxa"/>
            <w:vAlign w:val="center"/>
          </w:tcPr>
          <w:p w14:paraId="11F214DE">
            <w:pPr>
              <w:jc w:val="center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不确定度分量</w:t>
            </w:r>
            <w:r>
              <w:rPr>
                <w:rFonts w:hint="eastAsia" w:ascii="Times New Roman" w:hAnsi="Times New Roman" w:eastAsia="宋体" w:cs="Times New Roman"/>
                <w:position w:val="-12"/>
                <w:lang w:eastAsia="zh-CN"/>
              </w:rPr>
              <w:object>
                <v:shape id="_x0000_i1057" o:spt="75" type="#_x0000_t75" style="height:18pt;width:26pt;" o:ole="t" filled="f" o:preferrelative="t" stroked="f" coordsize="21600,21600">
                  <v:path/>
                  <v:fill on="f" focussize="0,0"/>
                  <v:stroke on="f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KSEE3" ShapeID="_x0000_i1057" DrawAspect="Content" ObjectID="_1468075757" r:id="rId67">
                  <o:LockedField>false</o:LockedField>
                </o:OLEObject>
              </w:object>
            </w:r>
          </w:p>
        </w:tc>
      </w:tr>
      <w:tr w14:paraId="7620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2" w:hRule="atLeast"/>
          <w:jc w:val="center"/>
        </w:trPr>
        <w:tc>
          <w:tcPr>
            <w:tcW w:w="1129" w:type="dxa"/>
            <w:vAlign w:val="center"/>
          </w:tcPr>
          <w:p w14:paraId="5E4833FA">
            <w:pPr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position w:val="-10"/>
                <w:lang w:eastAsia="zh-CN"/>
              </w:rPr>
              <w:object>
                <v:shape id="_x0000_i1058" o:spt="75" type="#_x0000_t75" style="height:17pt;width:35pt;" o:ole="t" filled="f" o:preferrelative="t" stroked="f" coordsize="21600,21600">
                  <v:path/>
                  <v:fill on="f" focussize="0,0"/>
                  <v:stroke on="f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KSEE3" ShapeID="_x0000_i1058" DrawAspect="Content" ObjectID="_1468075758" r:id="rId69">
                  <o:LockedField>false</o:LockedField>
                </o:OLEObject>
              </w:object>
            </w:r>
          </w:p>
        </w:tc>
        <w:tc>
          <w:tcPr>
            <w:tcW w:w="2490" w:type="dxa"/>
            <w:vAlign w:val="center"/>
          </w:tcPr>
          <w:p w14:paraId="463BE30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路程</w:t>
            </w:r>
            <w:r>
              <w:rPr>
                <w:rFonts w:hint="default" w:ascii="Times New Roman" w:hAnsi="Times New Roman" w:cs="Times New Roman"/>
              </w:rPr>
              <w:t>测量重复性</w:t>
            </w:r>
          </w:p>
        </w:tc>
        <w:tc>
          <w:tcPr>
            <w:tcW w:w="1875" w:type="dxa"/>
            <w:vAlign w:val="center"/>
          </w:tcPr>
          <w:p w14:paraId="48304904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11 km</w:t>
            </w:r>
          </w:p>
        </w:tc>
        <w:tc>
          <w:tcPr>
            <w:tcW w:w="1905" w:type="dxa"/>
            <w:vAlign w:val="center"/>
          </w:tcPr>
          <w:p w14:paraId="4F07E33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-20 h</w:t>
            </w:r>
            <w:r>
              <w:rPr>
                <w:rFonts w:hint="eastAsia" w:ascii="Times New Roman" w:hAnsi="Times New Roman" w:cs="Times New Roman"/>
                <w:vertAlign w:val="superscript"/>
                <w:lang w:val="en-US" w:eastAsia="zh-CN"/>
              </w:rPr>
              <w:t>-1</w:t>
            </w:r>
          </w:p>
        </w:tc>
        <w:tc>
          <w:tcPr>
            <w:tcW w:w="2073" w:type="dxa"/>
            <w:vAlign w:val="center"/>
          </w:tcPr>
          <w:p w14:paraId="526CF112"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-0.22 km/h</w:t>
            </w:r>
          </w:p>
        </w:tc>
      </w:tr>
      <w:tr w14:paraId="0D070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2" w:hRule="atLeast"/>
          <w:jc w:val="center"/>
        </w:trPr>
        <w:tc>
          <w:tcPr>
            <w:tcW w:w="1129" w:type="dxa"/>
            <w:vAlign w:val="center"/>
          </w:tcPr>
          <w:p w14:paraId="72B90CC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position w:val="-10"/>
                <w:lang w:eastAsia="zh-CN"/>
              </w:rPr>
              <w:object>
                <v:shape id="_x0000_i1059" o:spt="75" type="#_x0000_t75" style="height:17pt;width:36pt;" o:ole="t" filled="f" o:preferrelative="t" stroked="f" coordsize="21600,21600">
                  <v:path/>
                  <v:fill on="f" focussize="0,0"/>
                  <v:stroke on="f"/>
                  <v:imagedata r:id="rId72" o:title=""/>
                  <o:lock v:ext="edit" aspectratio="t"/>
                  <w10:wrap type="none"/>
                  <w10:anchorlock/>
                </v:shape>
                <o:OLEObject Type="Embed" ProgID="Equation.KSEE3" ShapeID="_x0000_i1059" DrawAspect="Content" ObjectID="_1468075759" r:id="rId71">
                  <o:LockedField>false</o:LockedField>
                </o:OLEObject>
              </w:object>
            </w:r>
          </w:p>
        </w:tc>
        <w:tc>
          <w:tcPr>
            <w:tcW w:w="2490" w:type="dxa"/>
            <w:vAlign w:val="center"/>
          </w:tcPr>
          <w:p w14:paraId="4544F9FE">
            <w:pPr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与区间道路中心线方向不平行</w:t>
            </w:r>
          </w:p>
        </w:tc>
        <w:tc>
          <w:tcPr>
            <w:tcW w:w="1875" w:type="dxa"/>
            <w:vAlign w:val="center"/>
          </w:tcPr>
          <w:p w14:paraId="496D9BC5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22 km</w:t>
            </w:r>
          </w:p>
        </w:tc>
        <w:tc>
          <w:tcPr>
            <w:tcW w:w="1905" w:type="dxa"/>
            <w:vAlign w:val="center"/>
          </w:tcPr>
          <w:p w14:paraId="5A89C7A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-20 h</w:t>
            </w:r>
            <w:r>
              <w:rPr>
                <w:rFonts w:hint="eastAsia" w:ascii="Times New Roman" w:hAnsi="Times New Roman" w:cs="Times New Roman"/>
                <w:vertAlign w:val="superscript"/>
                <w:lang w:val="en-US" w:eastAsia="zh-CN"/>
              </w:rPr>
              <w:t>-1</w:t>
            </w:r>
          </w:p>
        </w:tc>
        <w:tc>
          <w:tcPr>
            <w:tcW w:w="2073" w:type="dxa"/>
            <w:vAlign w:val="center"/>
          </w:tcPr>
          <w:p w14:paraId="205D743F"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-0.44 km/h</w:t>
            </w:r>
          </w:p>
        </w:tc>
      </w:tr>
      <w:tr w14:paraId="051EF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6" w:hRule="atLeast"/>
          <w:jc w:val="center"/>
        </w:trPr>
        <w:tc>
          <w:tcPr>
            <w:tcW w:w="1129" w:type="dxa"/>
            <w:vAlign w:val="center"/>
          </w:tcPr>
          <w:p w14:paraId="148B561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position w:val="-12"/>
                <w:lang w:eastAsia="zh-CN"/>
              </w:rPr>
              <w:object>
                <v:shape id="_x0000_i1060" o:spt="75" type="#_x0000_t75" style="height:18pt;width:36pt;" o:ole="t" filled="f" o:preferrelative="t" stroked="f" coordsize="21600,21600">
                  <v:path/>
                  <v:fill on="f" focussize="0,0"/>
                  <v:stroke on="f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KSEE3" ShapeID="_x0000_i1060" DrawAspect="Content" ObjectID="_1468075760" r:id="rId73">
                  <o:LockedField>false</o:LockedField>
                </o:OLEObject>
              </w:object>
            </w:r>
          </w:p>
        </w:tc>
        <w:tc>
          <w:tcPr>
            <w:tcW w:w="2490" w:type="dxa"/>
            <w:vAlign w:val="center"/>
          </w:tcPr>
          <w:p w14:paraId="097D32A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测量路程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标准装置最大允许误差</w:t>
            </w:r>
          </w:p>
        </w:tc>
        <w:tc>
          <w:tcPr>
            <w:tcW w:w="1875" w:type="dxa"/>
            <w:vAlign w:val="center"/>
          </w:tcPr>
          <w:p w14:paraId="58A936F0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0.00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29 km</w:t>
            </w:r>
          </w:p>
        </w:tc>
        <w:tc>
          <w:tcPr>
            <w:tcW w:w="1905" w:type="dxa"/>
            <w:vAlign w:val="center"/>
          </w:tcPr>
          <w:p w14:paraId="32CB002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-20 h</w:t>
            </w:r>
            <w:r>
              <w:rPr>
                <w:rFonts w:hint="eastAsia" w:ascii="Times New Roman" w:hAnsi="Times New Roman" w:cs="Times New Roman"/>
                <w:vertAlign w:val="superscript"/>
                <w:lang w:val="en-US" w:eastAsia="zh-CN"/>
              </w:rPr>
              <w:t>-1</w:t>
            </w:r>
          </w:p>
        </w:tc>
        <w:tc>
          <w:tcPr>
            <w:tcW w:w="2073" w:type="dxa"/>
            <w:vAlign w:val="center"/>
          </w:tcPr>
          <w:p w14:paraId="39DD5B13"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-0.058 km/h</w:t>
            </w:r>
          </w:p>
        </w:tc>
      </w:tr>
      <w:tr w14:paraId="1495E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1" w:hRule="atLeast"/>
          <w:jc w:val="center"/>
        </w:trPr>
        <w:tc>
          <w:tcPr>
            <w:tcW w:w="1129" w:type="dxa"/>
            <w:vAlign w:val="center"/>
          </w:tcPr>
          <w:p w14:paraId="69AC149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position w:val="-10"/>
                <w:lang w:eastAsia="zh-CN"/>
              </w:rPr>
              <w:object>
                <v:shape id="_x0000_i1061" o:spt="75" type="#_x0000_t75" style="height:17pt;width:36pt;" o:ole="t" filled="f" o:preferrelative="t" stroked="f" coordsize="21600,21600">
                  <v:path/>
                  <v:fill on="f" focussize="0,0"/>
                  <v:stroke on="f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KSEE3" ShapeID="_x0000_i1061" DrawAspect="Content" ObjectID="_1468075761" r:id="rId75">
                  <o:LockedField>false</o:LockedField>
                </o:OLEObject>
              </w:object>
            </w:r>
          </w:p>
        </w:tc>
        <w:tc>
          <w:tcPr>
            <w:tcW w:w="2490" w:type="dxa"/>
            <w:vAlign w:val="center"/>
          </w:tcPr>
          <w:p w14:paraId="430CCFB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测量路程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标准装置分辨力</w:t>
            </w:r>
          </w:p>
        </w:tc>
        <w:tc>
          <w:tcPr>
            <w:tcW w:w="1875" w:type="dxa"/>
            <w:vAlign w:val="center"/>
          </w:tcPr>
          <w:p w14:paraId="15707094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0.000029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km</w:t>
            </w:r>
          </w:p>
        </w:tc>
        <w:tc>
          <w:tcPr>
            <w:tcW w:w="1905" w:type="dxa"/>
            <w:vAlign w:val="center"/>
          </w:tcPr>
          <w:p w14:paraId="4527F36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-20 h</w:t>
            </w:r>
            <w:r>
              <w:rPr>
                <w:rFonts w:hint="eastAsia" w:ascii="Times New Roman" w:hAnsi="Times New Roman" w:cs="Times New Roman"/>
                <w:vertAlign w:val="superscript"/>
                <w:lang w:val="en-US" w:eastAsia="zh-CN"/>
              </w:rPr>
              <w:t>-1</w:t>
            </w:r>
          </w:p>
        </w:tc>
        <w:tc>
          <w:tcPr>
            <w:tcW w:w="2073" w:type="dxa"/>
            <w:vAlign w:val="center"/>
          </w:tcPr>
          <w:p w14:paraId="729FE9CD"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-0.00058 km/h</w:t>
            </w:r>
          </w:p>
        </w:tc>
      </w:tr>
      <w:tr w14:paraId="3E6F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1" w:hRule="atLeast"/>
          <w:jc w:val="center"/>
        </w:trPr>
        <w:tc>
          <w:tcPr>
            <w:tcW w:w="1129" w:type="dxa"/>
            <w:vAlign w:val="center"/>
          </w:tcPr>
          <w:p w14:paraId="5D36280D">
            <w:pPr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position w:val="-10"/>
                <w:lang w:eastAsia="zh-CN"/>
              </w:rPr>
              <w:object>
                <v:shape id="_x0000_i1062" o:spt="75" type="#_x0000_t75" style="height:17pt;width:31.95pt;" o:ole="t" filled="f" o:preferrelative="t" stroked="f" coordsize="21600,21600">
                  <v:path/>
                  <v:fill on="f" focussize="0,0"/>
                  <v:stroke on="f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KSEE3" ShapeID="_x0000_i1062" DrawAspect="Content" ObjectID="_1468075762" r:id="rId77">
                  <o:LockedField>false</o:LockedField>
                </o:OLEObject>
              </w:object>
            </w:r>
          </w:p>
        </w:tc>
        <w:tc>
          <w:tcPr>
            <w:tcW w:w="2490" w:type="dxa"/>
            <w:vAlign w:val="center"/>
          </w:tcPr>
          <w:p w14:paraId="69C9D97C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标准时钟最大允许误差</w:t>
            </w:r>
          </w:p>
        </w:tc>
        <w:tc>
          <w:tcPr>
            <w:tcW w:w="1875" w:type="dxa"/>
            <w:vAlign w:val="center"/>
          </w:tcPr>
          <w:p w14:paraId="567CC13B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position w:val="-6"/>
                <w:lang w:val="en-US" w:eastAsia="zh-CN"/>
              </w:rPr>
              <w:object>
                <v:shape id="_x0000_i1063" o:spt="75" type="#_x0000_t75" style="height:16pt;width:46pt;" o:ole="t" filled="f" o:preferrelative="t" stroked="f" coordsize="21600,21600">
                  <v:path/>
                  <v:fill on="f" focussize="0,0"/>
                  <v:stroke on="f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KSEE3" ShapeID="_x0000_i1063" DrawAspect="Content" ObjectID="_1468075763" r:id="rId79">
                  <o:LockedField>false</o:LockedField>
                </o:OLEObject>
              </w:objec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h</w:t>
            </w:r>
          </w:p>
        </w:tc>
        <w:tc>
          <w:tcPr>
            <w:tcW w:w="1905" w:type="dxa"/>
            <w:vAlign w:val="center"/>
          </w:tcPr>
          <w:p w14:paraId="2C15244B">
            <w:pPr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2008.91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km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•h</w:t>
            </w:r>
            <w:r>
              <w:rPr>
                <w:rFonts w:hint="eastAsia" w:ascii="Times New Roman" w:hAnsi="Times New Roman" w:cs="Times New Roman"/>
                <w:vertAlign w:val="superscript"/>
                <w:lang w:val="en-US" w:eastAsia="zh-CN"/>
              </w:rPr>
              <w:t>-2</w:t>
            </w:r>
          </w:p>
        </w:tc>
        <w:tc>
          <w:tcPr>
            <w:tcW w:w="2073" w:type="dxa"/>
            <w:vAlign w:val="center"/>
          </w:tcPr>
          <w:p w14:paraId="40226D2B"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position w:val="-6"/>
                <w:lang w:val="en-US" w:eastAsia="zh-CN"/>
              </w:rPr>
              <w:object>
                <v:shape id="_x0000_i1064" o:spt="75" type="#_x0000_t75" style="height:16pt;width:47pt;" o:ole="t" filled="f" o:preferrelative="t" stroked="f" coordsize="21600,21600">
                  <v:path/>
                  <v:fill on="f" focussize="0,0"/>
                  <v:stroke on="f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KSEE3" ShapeID="_x0000_i1064" DrawAspect="Content" ObjectID="_1468075764" r:id="rId81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km/h</w:t>
            </w:r>
          </w:p>
        </w:tc>
      </w:tr>
    </w:tbl>
    <w:p w14:paraId="105E24AF">
      <w:pPr>
        <w:numPr>
          <w:ilvl w:val="0"/>
          <w:numId w:val="0"/>
        </w:numPr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</w:p>
    <w:p w14:paraId="53D493EE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</w:p>
    <w:p w14:paraId="5209682C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</w:p>
    <w:p w14:paraId="3583F483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</w:p>
    <w:p w14:paraId="182E117F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</w:p>
    <w:p w14:paraId="3143E5E8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6.2 合成标准不确定度</w:t>
      </w:r>
    </w:p>
    <w:p w14:paraId="18761EA3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各标准不确定度分量互不相关，则合成标准不确定度</w:t>
      </w:r>
      <w:r>
        <w:rPr>
          <w:rFonts w:hint="eastAsia" w:ascii="Times New Roman" w:hAnsi="Times New Roman" w:eastAsia="宋体" w:cs="Times New Roman"/>
          <w:b w:val="0"/>
          <w:bCs w:val="0"/>
          <w:position w:val="-12"/>
          <w:lang w:val="en-US" w:eastAsia="zh-CN"/>
        </w:rPr>
        <w:object>
          <v:shape id="_x0000_i1065" o:spt="75" type="#_x0000_t75" style="height:18pt;width:13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为</w:t>
      </w:r>
    </w:p>
    <w:p w14:paraId="323F9F83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position w:val="-14"/>
          <w:lang w:val="en-US" w:eastAsia="zh-CN"/>
        </w:rPr>
        <w:object>
          <v:shape id="_x0000_i1066" o:spt="75" type="#_x0000_t75" style="height:24pt;width:350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=0.50 km/h</w:t>
      </w:r>
    </w:p>
    <w:p w14:paraId="2C863D08">
      <w:pPr>
        <w:numPr>
          <w:ilvl w:val="0"/>
          <w:numId w:val="1"/>
        </w:numPr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扩展不确定度的评定</w:t>
      </w:r>
    </w:p>
    <w:p w14:paraId="0007812F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取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lang w:val="en-US" w:eastAsia="zh-CN"/>
        </w:rPr>
        <w:t>k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=2，则扩展不确定度为</w:t>
      </w:r>
    </w:p>
    <w:p w14:paraId="784B28EB">
      <w:pPr>
        <w:numPr>
          <w:ilvl w:val="0"/>
          <w:numId w:val="0"/>
        </w:numPr>
        <w:ind w:firstLine="2200" w:firstLineChars="1000"/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position w:val="-12"/>
          <w:lang w:val="en-US" w:eastAsia="zh-CN"/>
        </w:rPr>
        <w:object>
          <v:shape id="_x0000_i1067" o:spt="75" type="#_x0000_t75" style="height:18pt;width:12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 xml:space="preserve"> km/h</w:t>
      </w:r>
    </w:p>
    <w:p w14:paraId="6FB2A84B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相对扩展不确定度为</w:t>
      </w:r>
    </w:p>
    <w:p w14:paraId="15C66AF3">
      <w:pPr>
        <w:numPr>
          <w:ilvl w:val="0"/>
          <w:numId w:val="0"/>
        </w:numPr>
        <w:ind w:firstLine="2200" w:firstLineChars="1000"/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position w:val="-24"/>
          <w:lang w:val="en-US" w:eastAsia="zh-CN"/>
        </w:rPr>
        <w:object>
          <v:shape id="_x0000_i1068" o:spt="75" type="#_x0000_t75" style="height:31pt;width:13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E5F0C0"/>
    <w:multiLevelType w:val="singleLevel"/>
    <w:tmpl w:val="F0E5F0C0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952FA"/>
    <w:rsid w:val="00BC0D3B"/>
    <w:rsid w:val="012F3EE3"/>
    <w:rsid w:val="02B41903"/>
    <w:rsid w:val="03EE0543"/>
    <w:rsid w:val="04702936"/>
    <w:rsid w:val="07C574F1"/>
    <w:rsid w:val="0962122F"/>
    <w:rsid w:val="0DFC5D98"/>
    <w:rsid w:val="0EDE19E0"/>
    <w:rsid w:val="0F7978DC"/>
    <w:rsid w:val="10AD4851"/>
    <w:rsid w:val="1194050D"/>
    <w:rsid w:val="11EB55F3"/>
    <w:rsid w:val="135E3EE5"/>
    <w:rsid w:val="13DE4E35"/>
    <w:rsid w:val="14847E2E"/>
    <w:rsid w:val="16117324"/>
    <w:rsid w:val="180A024E"/>
    <w:rsid w:val="1A69001B"/>
    <w:rsid w:val="1A870AF1"/>
    <w:rsid w:val="1C773A7F"/>
    <w:rsid w:val="1DA36A1F"/>
    <w:rsid w:val="1DA54CD4"/>
    <w:rsid w:val="1EA5232B"/>
    <w:rsid w:val="1ECB018B"/>
    <w:rsid w:val="1F0203E6"/>
    <w:rsid w:val="1F48434E"/>
    <w:rsid w:val="2077319D"/>
    <w:rsid w:val="21687416"/>
    <w:rsid w:val="22CB5C58"/>
    <w:rsid w:val="23304146"/>
    <w:rsid w:val="246B04F1"/>
    <w:rsid w:val="26812151"/>
    <w:rsid w:val="29E952FA"/>
    <w:rsid w:val="2CB77796"/>
    <w:rsid w:val="2DB77C31"/>
    <w:rsid w:val="2EF93596"/>
    <w:rsid w:val="31FD2EB1"/>
    <w:rsid w:val="34756022"/>
    <w:rsid w:val="35504875"/>
    <w:rsid w:val="37091B7E"/>
    <w:rsid w:val="37DE5D08"/>
    <w:rsid w:val="387F2846"/>
    <w:rsid w:val="39300C9B"/>
    <w:rsid w:val="39B123A9"/>
    <w:rsid w:val="3AF75836"/>
    <w:rsid w:val="3C8279CC"/>
    <w:rsid w:val="3C8426EB"/>
    <w:rsid w:val="3C994B8B"/>
    <w:rsid w:val="3E160359"/>
    <w:rsid w:val="3E3E6132"/>
    <w:rsid w:val="3F0B61D8"/>
    <w:rsid w:val="3F4319E4"/>
    <w:rsid w:val="3FE14241"/>
    <w:rsid w:val="40DD15D9"/>
    <w:rsid w:val="448D6854"/>
    <w:rsid w:val="45004198"/>
    <w:rsid w:val="453F138C"/>
    <w:rsid w:val="45A00BDA"/>
    <w:rsid w:val="465D6BB0"/>
    <w:rsid w:val="47E029A6"/>
    <w:rsid w:val="48F35CBA"/>
    <w:rsid w:val="49233E46"/>
    <w:rsid w:val="4B484E68"/>
    <w:rsid w:val="4D667441"/>
    <w:rsid w:val="4F7B5611"/>
    <w:rsid w:val="506D616A"/>
    <w:rsid w:val="52AD3197"/>
    <w:rsid w:val="55FE780A"/>
    <w:rsid w:val="56B57C17"/>
    <w:rsid w:val="596D589E"/>
    <w:rsid w:val="5985788C"/>
    <w:rsid w:val="5C0222B2"/>
    <w:rsid w:val="5E304736"/>
    <w:rsid w:val="5FC629F6"/>
    <w:rsid w:val="6009109F"/>
    <w:rsid w:val="61325567"/>
    <w:rsid w:val="615C6BA9"/>
    <w:rsid w:val="62CC10F0"/>
    <w:rsid w:val="63F02C98"/>
    <w:rsid w:val="641C7222"/>
    <w:rsid w:val="642B5E97"/>
    <w:rsid w:val="65E940F1"/>
    <w:rsid w:val="66593B40"/>
    <w:rsid w:val="67611A79"/>
    <w:rsid w:val="67AB5A92"/>
    <w:rsid w:val="6A095B3E"/>
    <w:rsid w:val="6A321C40"/>
    <w:rsid w:val="6BCF3918"/>
    <w:rsid w:val="6BFB4701"/>
    <w:rsid w:val="6D535020"/>
    <w:rsid w:val="6EDD50AD"/>
    <w:rsid w:val="70BF2B27"/>
    <w:rsid w:val="71376982"/>
    <w:rsid w:val="71DF08E1"/>
    <w:rsid w:val="73447570"/>
    <w:rsid w:val="739C0DCF"/>
    <w:rsid w:val="77321566"/>
    <w:rsid w:val="7A1B5D18"/>
    <w:rsid w:val="7BB36716"/>
    <w:rsid w:val="7CA51F94"/>
    <w:rsid w:val="7D1C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2" Type="http://schemas.openxmlformats.org/officeDocument/2006/relationships/fontTable" Target="fontTable.xml"/><Relationship Id="rId91" Type="http://schemas.openxmlformats.org/officeDocument/2006/relationships/numbering" Target="numbering.xml"/><Relationship Id="rId90" Type="http://schemas.openxmlformats.org/officeDocument/2006/relationships/image" Target="media/image41.wmf"/><Relationship Id="rId9" Type="http://schemas.openxmlformats.org/officeDocument/2006/relationships/image" Target="media/image2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1.wmf"/><Relationship Id="rId7" Type="http://schemas.openxmlformats.org/officeDocument/2006/relationships/image" Target="media/image1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3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6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endnotes" Target="endnotes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zc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1368</Words>
  <Characters>1697</Characters>
  <Lines>0</Lines>
  <Paragraphs>0</Paragraphs>
  <TotalTime>6</TotalTime>
  <ScaleCrop>false</ScaleCrop>
  <LinksUpToDate>false</LinksUpToDate>
  <CharactersWithSpaces>1749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2018-10-31T02:21:00Z</dcterms:created>
  <dc:creator>Mr-Z</dc:creator>
  <cp:lastModifiedBy>老树</cp:lastModifiedBy>
  <dcterms:modified xsi:type="dcterms:W3CDTF">2026-05-11T07:36:06Z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eyJoZGlkIjoiYTIzMWFjZTQ4MWJhZjRlZDliMmFmZmZmOTA1ODk0OTUiLCJ1c2VySWQiOiI5MzA1MzU2MzgifQ==</vt:lpwstr>
  </property>
  <property fmtid="{D5CDD505-2E9C-101B-9397-08002B2CF9AE}" pid="4" name="ICV">
    <vt:lpwstr>CBC3336CBF194B9582A8E8317143EB27_12</vt:lpwstr>
  </property>
</Properties>
</file>